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827E" w14:textId="71C19D63" w:rsidR="00C95732" w:rsidRDefault="00167367" w:rsidP="00167367">
      <w:pPr>
        <w:jc w:val="center"/>
      </w:pPr>
      <w:r>
        <w:rPr>
          <w:noProof/>
        </w:rPr>
        <w:drawing>
          <wp:inline distT="0" distB="0" distL="0" distR="0" wp14:anchorId="388B408E" wp14:editId="78666224">
            <wp:extent cx="3869436" cy="787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ia Logo CMYK.ai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436" cy="78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FC0F9" w14:textId="765ADA69" w:rsidR="00167367" w:rsidRDefault="00167367" w:rsidP="00167367">
      <w:pPr>
        <w:jc w:val="center"/>
      </w:pPr>
    </w:p>
    <w:p w14:paraId="51554580" w14:textId="2F29F5E1" w:rsidR="00167367" w:rsidRDefault="00167367" w:rsidP="009A3DC0">
      <w:pPr>
        <w:jc w:val="center"/>
        <w:rPr>
          <w:b/>
          <w:bCs/>
        </w:rPr>
      </w:pPr>
      <w:r w:rsidRPr="00167367">
        <w:rPr>
          <w:b/>
          <w:bCs/>
        </w:rPr>
        <w:t xml:space="preserve">The </w:t>
      </w:r>
      <w:r w:rsidR="00AF56BD">
        <w:rPr>
          <w:b/>
          <w:bCs/>
        </w:rPr>
        <w:t xml:space="preserve">University Research Fund (Article </w:t>
      </w:r>
      <w:r w:rsidRPr="00167367">
        <w:rPr>
          <w:b/>
          <w:bCs/>
        </w:rPr>
        <w:t>25.55</w:t>
      </w:r>
      <w:r w:rsidR="00AF56BD">
        <w:rPr>
          <w:b/>
          <w:bCs/>
        </w:rPr>
        <w:t xml:space="preserve">) </w:t>
      </w:r>
      <w:r w:rsidRPr="00167367">
        <w:rPr>
          <w:b/>
          <w:bCs/>
        </w:rPr>
        <w:t>at Acadia University supports the direct cost of research and the dissemination of research by the University’s faculty.</w:t>
      </w:r>
    </w:p>
    <w:p w14:paraId="3D387716" w14:textId="77777777" w:rsidR="009A3DC0" w:rsidRDefault="009A3DC0" w:rsidP="009A3DC0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4"/>
        <w:gridCol w:w="2537"/>
        <w:gridCol w:w="3631"/>
        <w:gridCol w:w="1057"/>
      </w:tblGrid>
      <w:tr w:rsidR="00A202CA" w14:paraId="70AE76D4" w14:textId="77777777" w:rsidTr="008052BC">
        <w:trPr>
          <w:jc w:val="center"/>
        </w:trPr>
        <w:tc>
          <w:tcPr>
            <w:tcW w:w="1874" w:type="dxa"/>
          </w:tcPr>
          <w:p w14:paraId="19626FFD" w14:textId="55A06545" w:rsidR="00A202CA" w:rsidRPr="008052BC" w:rsidRDefault="008052BC" w:rsidP="008052BC">
            <w:pPr>
              <w:jc w:val="center"/>
              <w:rPr>
                <w:b/>
                <w:bCs/>
                <w:sz w:val="24"/>
                <w:szCs w:val="24"/>
              </w:rPr>
            </w:pPr>
            <w:r w:rsidRPr="008052BC">
              <w:rPr>
                <w:b/>
                <w:bCs/>
                <w:sz w:val="24"/>
                <w:szCs w:val="24"/>
              </w:rPr>
              <w:t>GRANT HOLDER  February 2021</w:t>
            </w:r>
          </w:p>
        </w:tc>
        <w:tc>
          <w:tcPr>
            <w:tcW w:w="2343" w:type="dxa"/>
          </w:tcPr>
          <w:p w14:paraId="0D869677" w14:textId="4B8A331E" w:rsidR="00A202CA" w:rsidRPr="008052BC" w:rsidRDefault="00A202CA" w:rsidP="00A202CA">
            <w:pPr>
              <w:jc w:val="center"/>
              <w:rPr>
                <w:b/>
                <w:bCs/>
                <w:sz w:val="24"/>
                <w:szCs w:val="24"/>
              </w:rPr>
            </w:pPr>
            <w:r w:rsidRPr="008052BC">
              <w:rPr>
                <w:b/>
                <w:bCs/>
                <w:sz w:val="24"/>
                <w:szCs w:val="24"/>
              </w:rPr>
              <w:t>DEPARTMENT</w:t>
            </w:r>
            <w:r w:rsidR="00927C55" w:rsidRPr="008052BC">
              <w:rPr>
                <w:b/>
                <w:bCs/>
                <w:sz w:val="24"/>
                <w:szCs w:val="24"/>
              </w:rPr>
              <w:t>/SCHOOL</w:t>
            </w:r>
          </w:p>
        </w:tc>
        <w:tc>
          <w:tcPr>
            <w:tcW w:w="3631" w:type="dxa"/>
          </w:tcPr>
          <w:p w14:paraId="7F470761" w14:textId="1379D709" w:rsidR="00A202CA" w:rsidRPr="008052BC" w:rsidRDefault="00A202CA" w:rsidP="00A202CA">
            <w:pPr>
              <w:jc w:val="center"/>
              <w:rPr>
                <w:b/>
                <w:bCs/>
                <w:sz w:val="24"/>
                <w:szCs w:val="24"/>
              </w:rPr>
            </w:pPr>
            <w:r w:rsidRPr="008052BC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057" w:type="dxa"/>
          </w:tcPr>
          <w:p w14:paraId="62F2FE43" w14:textId="424F7AEB" w:rsidR="00A202CA" w:rsidRPr="008052BC" w:rsidRDefault="00A202CA" w:rsidP="00A202CA">
            <w:pPr>
              <w:jc w:val="center"/>
              <w:rPr>
                <w:b/>
                <w:bCs/>
                <w:sz w:val="24"/>
                <w:szCs w:val="24"/>
              </w:rPr>
            </w:pPr>
            <w:r w:rsidRPr="008052BC">
              <w:rPr>
                <w:b/>
                <w:bCs/>
                <w:sz w:val="24"/>
                <w:szCs w:val="24"/>
              </w:rPr>
              <w:t>AWARD</w:t>
            </w:r>
          </w:p>
        </w:tc>
      </w:tr>
      <w:tr w:rsidR="00A202CA" w14:paraId="6CB03BA2" w14:textId="77777777" w:rsidTr="008052BC">
        <w:trPr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A2DF" w14:textId="3D13BDAB" w:rsidR="00A202CA" w:rsidRPr="002C696A" w:rsidRDefault="00A202CA" w:rsidP="00322B9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9B68" w14:textId="09592CAE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AE18B" w14:textId="67858C03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2F3E" w14:textId="150B248A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</w:p>
        </w:tc>
      </w:tr>
      <w:tr w:rsidR="008052BC" w:rsidRPr="008052BC" w14:paraId="6E650374" w14:textId="77777777" w:rsidTr="008052BC">
        <w:tblPrEx>
          <w:jc w:val="left"/>
        </w:tblPrEx>
        <w:trPr>
          <w:trHeight w:val="600"/>
        </w:trPr>
        <w:tc>
          <w:tcPr>
            <w:tcW w:w="1874" w:type="dxa"/>
            <w:noWrap/>
            <w:hideMark/>
          </w:tcPr>
          <w:p w14:paraId="0FA6F12F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K. Bell and D. Holmberg</w:t>
            </w:r>
          </w:p>
        </w:tc>
        <w:tc>
          <w:tcPr>
            <w:tcW w:w="2343" w:type="dxa"/>
            <w:noWrap/>
            <w:hideMark/>
          </w:tcPr>
          <w:p w14:paraId="127F53B8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Department of Psychology</w:t>
            </w:r>
          </w:p>
        </w:tc>
        <w:tc>
          <w:tcPr>
            <w:tcW w:w="3631" w:type="dxa"/>
            <w:hideMark/>
          </w:tcPr>
          <w:p w14:paraId="39BB83CC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Impact of Initial COVID-19 Pandemic Waves on Relational and Mental Well-Being</w:t>
            </w:r>
          </w:p>
        </w:tc>
        <w:tc>
          <w:tcPr>
            <w:tcW w:w="1057" w:type="dxa"/>
            <w:noWrap/>
            <w:hideMark/>
          </w:tcPr>
          <w:p w14:paraId="69BC0DA9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4,814 </w:t>
            </w:r>
          </w:p>
        </w:tc>
      </w:tr>
      <w:tr w:rsidR="008052BC" w:rsidRPr="008052BC" w14:paraId="2E70D7E2" w14:textId="77777777" w:rsidTr="008052BC">
        <w:tblPrEx>
          <w:jc w:val="left"/>
        </w:tblPrEx>
        <w:trPr>
          <w:trHeight w:val="900"/>
        </w:trPr>
        <w:tc>
          <w:tcPr>
            <w:tcW w:w="1874" w:type="dxa"/>
            <w:noWrap/>
            <w:hideMark/>
          </w:tcPr>
          <w:p w14:paraId="34426B08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E. Callaghan</w:t>
            </w:r>
          </w:p>
        </w:tc>
        <w:tc>
          <w:tcPr>
            <w:tcW w:w="2343" w:type="dxa"/>
            <w:noWrap/>
            <w:hideMark/>
          </w:tcPr>
          <w:p w14:paraId="7310EF57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School of Business</w:t>
            </w:r>
          </w:p>
        </w:tc>
        <w:tc>
          <w:tcPr>
            <w:tcW w:w="3631" w:type="dxa"/>
            <w:hideMark/>
          </w:tcPr>
          <w:p w14:paraId="6BBAC9D9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Assessment of needs, abilities and aspirations related to organization growth and development: Exploring the Growing Local Food Hub</w:t>
            </w:r>
          </w:p>
        </w:tc>
        <w:tc>
          <w:tcPr>
            <w:tcW w:w="1057" w:type="dxa"/>
            <w:noWrap/>
            <w:hideMark/>
          </w:tcPr>
          <w:p w14:paraId="77DE83BD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4,998 </w:t>
            </w:r>
          </w:p>
        </w:tc>
      </w:tr>
      <w:tr w:rsidR="008052BC" w:rsidRPr="008052BC" w14:paraId="7F9AE06C" w14:textId="77777777" w:rsidTr="008052BC">
        <w:tblPrEx>
          <w:jc w:val="left"/>
        </w:tblPrEx>
        <w:trPr>
          <w:trHeight w:val="600"/>
        </w:trPr>
        <w:tc>
          <w:tcPr>
            <w:tcW w:w="1874" w:type="dxa"/>
            <w:noWrap/>
            <w:hideMark/>
          </w:tcPr>
          <w:p w14:paraId="3A16B412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M. Coombs</w:t>
            </w:r>
          </w:p>
        </w:tc>
        <w:tc>
          <w:tcPr>
            <w:tcW w:w="2343" w:type="dxa"/>
            <w:noWrap/>
            <w:hideMark/>
          </w:tcPr>
          <w:p w14:paraId="1406EE82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Department of Biology</w:t>
            </w:r>
          </w:p>
        </w:tc>
        <w:tc>
          <w:tcPr>
            <w:tcW w:w="3631" w:type="dxa"/>
            <w:hideMark/>
          </w:tcPr>
          <w:p w14:paraId="68F8AE24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Examination of </w:t>
            </w:r>
            <w:proofErr w:type="spellStart"/>
            <w:r w:rsidRPr="008052BC">
              <w:rPr>
                <w:rFonts w:ascii="Calibri" w:eastAsia="Times New Roman" w:hAnsi="Calibri" w:cs="Calibri"/>
              </w:rPr>
              <w:t>Mastoparan</w:t>
            </w:r>
            <w:proofErr w:type="spellEnd"/>
            <w:r w:rsidRPr="008052BC">
              <w:rPr>
                <w:rFonts w:ascii="Calibri" w:eastAsia="Times New Roman" w:hAnsi="Calibri" w:cs="Calibri"/>
              </w:rPr>
              <w:t xml:space="preserve"> on inhibiting colon cancer stem cells</w:t>
            </w:r>
          </w:p>
        </w:tc>
        <w:tc>
          <w:tcPr>
            <w:tcW w:w="1057" w:type="dxa"/>
            <w:noWrap/>
            <w:hideMark/>
          </w:tcPr>
          <w:p w14:paraId="273D8EC5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4,956 </w:t>
            </w:r>
          </w:p>
        </w:tc>
      </w:tr>
      <w:tr w:rsidR="008052BC" w:rsidRPr="008052BC" w14:paraId="45C242B9" w14:textId="77777777" w:rsidTr="008052BC">
        <w:tblPrEx>
          <w:jc w:val="left"/>
        </w:tblPrEx>
        <w:trPr>
          <w:trHeight w:val="600"/>
        </w:trPr>
        <w:tc>
          <w:tcPr>
            <w:tcW w:w="1874" w:type="dxa"/>
            <w:noWrap/>
            <w:hideMark/>
          </w:tcPr>
          <w:p w14:paraId="73A08CA9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K. Hillier</w:t>
            </w:r>
          </w:p>
        </w:tc>
        <w:tc>
          <w:tcPr>
            <w:tcW w:w="2343" w:type="dxa"/>
            <w:noWrap/>
            <w:hideMark/>
          </w:tcPr>
          <w:p w14:paraId="7141324B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Department of Biology</w:t>
            </w:r>
          </w:p>
        </w:tc>
        <w:tc>
          <w:tcPr>
            <w:tcW w:w="3631" w:type="dxa"/>
            <w:hideMark/>
          </w:tcPr>
          <w:p w14:paraId="6D334DAC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Assessing mosquito range expansion and vector potential in Nova Scotia</w:t>
            </w:r>
          </w:p>
        </w:tc>
        <w:tc>
          <w:tcPr>
            <w:tcW w:w="1057" w:type="dxa"/>
            <w:noWrap/>
            <w:hideMark/>
          </w:tcPr>
          <w:p w14:paraId="6437A503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5,000 </w:t>
            </w:r>
          </w:p>
        </w:tc>
      </w:tr>
      <w:tr w:rsidR="008052BC" w:rsidRPr="008052BC" w14:paraId="36FECC6E" w14:textId="77777777" w:rsidTr="008052BC">
        <w:tblPrEx>
          <w:jc w:val="left"/>
        </w:tblPrEx>
        <w:trPr>
          <w:trHeight w:val="900"/>
        </w:trPr>
        <w:tc>
          <w:tcPr>
            <w:tcW w:w="1874" w:type="dxa"/>
            <w:noWrap/>
            <w:hideMark/>
          </w:tcPr>
          <w:p w14:paraId="48869CDB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M. Kaviani</w:t>
            </w:r>
          </w:p>
        </w:tc>
        <w:tc>
          <w:tcPr>
            <w:tcW w:w="2343" w:type="dxa"/>
            <w:hideMark/>
          </w:tcPr>
          <w:p w14:paraId="6F3C5BBE" w14:textId="7B4F42D9" w:rsidR="008052BC" w:rsidRPr="008052BC" w:rsidRDefault="008052BC" w:rsidP="00AF56BD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Department of Nutrition &amp; Diet</w:t>
            </w:r>
            <w:r w:rsidR="00AF56BD">
              <w:rPr>
                <w:rFonts w:ascii="Calibri" w:eastAsia="Times New Roman" w:hAnsi="Calibri" w:cs="Calibri"/>
              </w:rPr>
              <w:t>eti</w:t>
            </w:r>
            <w:r w:rsidRPr="008052BC">
              <w:rPr>
                <w:rFonts w:ascii="Calibri" w:eastAsia="Times New Roman" w:hAnsi="Calibri" w:cs="Calibri"/>
              </w:rPr>
              <w:t>cs</w:t>
            </w:r>
          </w:p>
        </w:tc>
        <w:tc>
          <w:tcPr>
            <w:tcW w:w="3631" w:type="dxa"/>
            <w:hideMark/>
          </w:tcPr>
          <w:p w14:paraId="79986E39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Supporting and Enabling Physicians to deliver Personalized Therapeutic Nutrition Using an Online Technology Platform</w:t>
            </w:r>
          </w:p>
        </w:tc>
        <w:tc>
          <w:tcPr>
            <w:tcW w:w="1057" w:type="dxa"/>
            <w:noWrap/>
            <w:hideMark/>
          </w:tcPr>
          <w:p w14:paraId="67C9779E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4,661 </w:t>
            </w:r>
          </w:p>
        </w:tc>
      </w:tr>
      <w:tr w:rsidR="008052BC" w:rsidRPr="008052BC" w14:paraId="56A41EC1" w14:textId="77777777" w:rsidTr="008052BC">
        <w:tblPrEx>
          <w:jc w:val="left"/>
        </w:tblPrEx>
        <w:trPr>
          <w:trHeight w:val="600"/>
        </w:trPr>
        <w:tc>
          <w:tcPr>
            <w:tcW w:w="1874" w:type="dxa"/>
            <w:noWrap/>
            <w:hideMark/>
          </w:tcPr>
          <w:p w14:paraId="67F55E3E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J. Leidl</w:t>
            </w:r>
          </w:p>
        </w:tc>
        <w:tc>
          <w:tcPr>
            <w:tcW w:w="2343" w:type="dxa"/>
            <w:noWrap/>
            <w:hideMark/>
          </w:tcPr>
          <w:p w14:paraId="4B2D58E6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Arts</w:t>
            </w:r>
          </w:p>
        </w:tc>
        <w:tc>
          <w:tcPr>
            <w:tcW w:w="3631" w:type="dxa"/>
            <w:hideMark/>
          </w:tcPr>
          <w:p w14:paraId="25B84A5F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“Judith Leidl: Re-envisioning New Brunswick and the Atlantic Bubble during the Global Pandemic”</w:t>
            </w:r>
          </w:p>
        </w:tc>
        <w:tc>
          <w:tcPr>
            <w:tcW w:w="1057" w:type="dxa"/>
            <w:noWrap/>
            <w:hideMark/>
          </w:tcPr>
          <w:p w14:paraId="2A09D7AF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3,249 </w:t>
            </w:r>
          </w:p>
        </w:tc>
      </w:tr>
      <w:tr w:rsidR="008052BC" w:rsidRPr="008052BC" w14:paraId="000025B2" w14:textId="77777777" w:rsidTr="008052BC">
        <w:tblPrEx>
          <w:jc w:val="left"/>
        </w:tblPrEx>
        <w:trPr>
          <w:trHeight w:val="900"/>
        </w:trPr>
        <w:tc>
          <w:tcPr>
            <w:tcW w:w="1874" w:type="dxa"/>
            <w:noWrap/>
            <w:hideMark/>
          </w:tcPr>
          <w:p w14:paraId="713CA535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M. Lukeman</w:t>
            </w:r>
          </w:p>
        </w:tc>
        <w:tc>
          <w:tcPr>
            <w:tcW w:w="2343" w:type="dxa"/>
            <w:noWrap/>
            <w:hideMark/>
          </w:tcPr>
          <w:p w14:paraId="3E9ACCF4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Department of Chemistry</w:t>
            </w:r>
          </w:p>
        </w:tc>
        <w:tc>
          <w:tcPr>
            <w:tcW w:w="3631" w:type="dxa"/>
            <w:hideMark/>
          </w:tcPr>
          <w:p w14:paraId="53B5794B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Enhancing the Efficiency of Excited State Intramolecular Proton Transfer (ESIPT) Reactions by Forcing Optimal OH Bond Geometry</w:t>
            </w:r>
          </w:p>
        </w:tc>
        <w:tc>
          <w:tcPr>
            <w:tcW w:w="1057" w:type="dxa"/>
            <w:noWrap/>
            <w:hideMark/>
          </w:tcPr>
          <w:p w14:paraId="73FB051D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5,000 </w:t>
            </w:r>
          </w:p>
        </w:tc>
      </w:tr>
      <w:tr w:rsidR="008052BC" w:rsidRPr="008052BC" w14:paraId="5B4A3B6E" w14:textId="77777777" w:rsidTr="008052BC">
        <w:tblPrEx>
          <w:jc w:val="left"/>
        </w:tblPrEx>
        <w:trPr>
          <w:trHeight w:val="600"/>
        </w:trPr>
        <w:tc>
          <w:tcPr>
            <w:tcW w:w="1874" w:type="dxa"/>
            <w:noWrap/>
            <w:hideMark/>
          </w:tcPr>
          <w:p w14:paraId="20B2D065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G. MacKinnon</w:t>
            </w:r>
          </w:p>
        </w:tc>
        <w:tc>
          <w:tcPr>
            <w:tcW w:w="2343" w:type="dxa"/>
            <w:noWrap/>
            <w:hideMark/>
          </w:tcPr>
          <w:p w14:paraId="06F1650C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School of Education</w:t>
            </w:r>
          </w:p>
        </w:tc>
        <w:tc>
          <w:tcPr>
            <w:tcW w:w="3631" w:type="dxa"/>
            <w:hideMark/>
          </w:tcPr>
          <w:p w14:paraId="75BE4104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Challenges of Teaching Second Language Learners of English During the Covid 19 Pandemic </w:t>
            </w:r>
          </w:p>
        </w:tc>
        <w:tc>
          <w:tcPr>
            <w:tcW w:w="1057" w:type="dxa"/>
            <w:noWrap/>
            <w:hideMark/>
          </w:tcPr>
          <w:p w14:paraId="1ED1377B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2,343 </w:t>
            </w:r>
          </w:p>
        </w:tc>
      </w:tr>
      <w:tr w:rsidR="008052BC" w:rsidRPr="008052BC" w14:paraId="4AA2A62A" w14:textId="77777777" w:rsidTr="008052BC">
        <w:tblPrEx>
          <w:jc w:val="left"/>
        </w:tblPrEx>
        <w:trPr>
          <w:trHeight w:val="900"/>
        </w:trPr>
        <w:tc>
          <w:tcPr>
            <w:tcW w:w="1874" w:type="dxa"/>
            <w:noWrap/>
            <w:hideMark/>
          </w:tcPr>
          <w:p w14:paraId="49D6CB52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C. Mutlu</w:t>
            </w:r>
          </w:p>
        </w:tc>
        <w:tc>
          <w:tcPr>
            <w:tcW w:w="2343" w:type="dxa"/>
            <w:noWrap/>
            <w:hideMark/>
          </w:tcPr>
          <w:p w14:paraId="5042D2E4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Department of Politics</w:t>
            </w:r>
          </w:p>
        </w:tc>
        <w:tc>
          <w:tcPr>
            <w:tcW w:w="3631" w:type="dxa"/>
            <w:hideMark/>
          </w:tcPr>
          <w:p w14:paraId="2EA16752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Migrant Agriculture Workers in Annapolis Valley, Nova Scotia during COVID-19: Precarity, Temporariness, and Pandemic</w:t>
            </w:r>
          </w:p>
        </w:tc>
        <w:tc>
          <w:tcPr>
            <w:tcW w:w="1057" w:type="dxa"/>
            <w:noWrap/>
            <w:hideMark/>
          </w:tcPr>
          <w:p w14:paraId="01057D40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3,627 </w:t>
            </w:r>
          </w:p>
        </w:tc>
      </w:tr>
      <w:tr w:rsidR="008052BC" w:rsidRPr="008052BC" w14:paraId="1CB3913C" w14:textId="77777777" w:rsidTr="008052BC">
        <w:tblPrEx>
          <w:jc w:val="left"/>
        </w:tblPrEx>
        <w:trPr>
          <w:trHeight w:val="1200"/>
        </w:trPr>
        <w:tc>
          <w:tcPr>
            <w:tcW w:w="1874" w:type="dxa"/>
            <w:noWrap/>
            <w:hideMark/>
          </w:tcPr>
          <w:p w14:paraId="5CCD6FA6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lastRenderedPageBreak/>
              <w:t>N. O'Driscoll</w:t>
            </w:r>
          </w:p>
        </w:tc>
        <w:tc>
          <w:tcPr>
            <w:tcW w:w="2343" w:type="dxa"/>
            <w:hideMark/>
          </w:tcPr>
          <w:p w14:paraId="5041292B" w14:textId="0F0FF541" w:rsidR="008052BC" w:rsidRPr="008052BC" w:rsidRDefault="00AF56BD" w:rsidP="008052B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Department </w:t>
            </w:r>
            <w:r w:rsidR="008052BC" w:rsidRPr="008052BC">
              <w:rPr>
                <w:rFonts w:ascii="Calibri" w:eastAsia="Times New Roman" w:hAnsi="Calibri" w:cs="Calibri"/>
              </w:rPr>
              <w:t>of Earth &amp; Environmental Science</w:t>
            </w:r>
          </w:p>
        </w:tc>
        <w:tc>
          <w:tcPr>
            <w:tcW w:w="3631" w:type="dxa"/>
            <w:hideMark/>
          </w:tcPr>
          <w:p w14:paraId="6ED525BE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Development of a multi-chamber mercury flux analysis system for the quantification of mercury loss from Nova Scotia ecosystems and contaminated sites</w:t>
            </w:r>
          </w:p>
        </w:tc>
        <w:tc>
          <w:tcPr>
            <w:tcW w:w="1057" w:type="dxa"/>
            <w:noWrap/>
            <w:hideMark/>
          </w:tcPr>
          <w:p w14:paraId="0215E309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5,000 </w:t>
            </w:r>
          </w:p>
        </w:tc>
      </w:tr>
      <w:tr w:rsidR="008052BC" w:rsidRPr="008052BC" w14:paraId="2B8D4A1C" w14:textId="77777777" w:rsidTr="008052BC">
        <w:tblPrEx>
          <w:jc w:val="left"/>
        </w:tblPrEx>
        <w:trPr>
          <w:trHeight w:val="600"/>
        </w:trPr>
        <w:tc>
          <w:tcPr>
            <w:tcW w:w="1874" w:type="dxa"/>
            <w:noWrap/>
            <w:hideMark/>
          </w:tcPr>
          <w:p w14:paraId="2FD770C9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M. Sheppard</w:t>
            </w:r>
          </w:p>
        </w:tc>
        <w:tc>
          <w:tcPr>
            <w:tcW w:w="2343" w:type="dxa"/>
            <w:hideMark/>
          </w:tcPr>
          <w:p w14:paraId="770E8C28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School of Business</w:t>
            </w:r>
          </w:p>
        </w:tc>
        <w:tc>
          <w:tcPr>
            <w:tcW w:w="3631" w:type="dxa"/>
            <w:hideMark/>
          </w:tcPr>
          <w:p w14:paraId="0423E321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The role of innovation and internationalization in the growth and survival of SMEs</w:t>
            </w:r>
          </w:p>
        </w:tc>
        <w:tc>
          <w:tcPr>
            <w:tcW w:w="1057" w:type="dxa"/>
            <w:noWrap/>
            <w:hideMark/>
          </w:tcPr>
          <w:p w14:paraId="6FCD218E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4,790 </w:t>
            </w:r>
          </w:p>
        </w:tc>
      </w:tr>
      <w:tr w:rsidR="008052BC" w:rsidRPr="008052BC" w14:paraId="1A93391C" w14:textId="77777777" w:rsidTr="008052BC">
        <w:tblPrEx>
          <w:jc w:val="left"/>
        </w:tblPrEx>
        <w:trPr>
          <w:trHeight w:val="600"/>
        </w:trPr>
        <w:tc>
          <w:tcPr>
            <w:tcW w:w="1874" w:type="dxa"/>
            <w:noWrap/>
            <w:hideMark/>
          </w:tcPr>
          <w:p w14:paraId="6660E205" w14:textId="77777777" w:rsidR="008052BC" w:rsidRPr="008052BC" w:rsidRDefault="008052BC" w:rsidP="008052B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052BC">
              <w:rPr>
                <w:rFonts w:ascii="Calibri" w:eastAsia="Times New Roman" w:hAnsi="Calibri" w:cs="Calibri"/>
                <w:sz w:val="20"/>
                <w:szCs w:val="20"/>
              </w:rPr>
              <w:t>A. Smith</w:t>
            </w:r>
          </w:p>
        </w:tc>
        <w:tc>
          <w:tcPr>
            <w:tcW w:w="2343" w:type="dxa"/>
            <w:noWrap/>
            <w:hideMark/>
          </w:tcPr>
          <w:p w14:paraId="2DCBCF75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Vaughan Memorial Library</w:t>
            </w:r>
          </w:p>
        </w:tc>
        <w:tc>
          <w:tcPr>
            <w:tcW w:w="3631" w:type="dxa"/>
            <w:hideMark/>
          </w:tcPr>
          <w:p w14:paraId="7EE275B8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Controlled Digital Lending (CDL) and the Canadian Landscape</w:t>
            </w:r>
          </w:p>
        </w:tc>
        <w:tc>
          <w:tcPr>
            <w:tcW w:w="1057" w:type="dxa"/>
            <w:noWrap/>
            <w:hideMark/>
          </w:tcPr>
          <w:p w14:paraId="50CB1937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4,944 </w:t>
            </w:r>
          </w:p>
        </w:tc>
      </w:tr>
      <w:tr w:rsidR="008052BC" w:rsidRPr="008052BC" w14:paraId="36C58813" w14:textId="77777777" w:rsidTr="008052BC">
        <w:tblPrEx>
          <w:jc w:val="left"/>
        </w:tblPrEx>
        <w:trPr>
          <w:trHeight w:val="600"/>
        </w:trPr>
        <w:tc>
          <w:tcPr>
            <w:tcW w:w="1874" w:type="dxa"/>
            <w:noWrap/>
            <w:hideMark/>
          </w:tcPr>
          <w:p w14:paraId="1D02B0C1" w14:textId="77777777" w:rsidR="008052BC" w:rsidRPr="008052BC" w:rsidRDefault="008052BC" w:rsidP="008052B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052BC">
              <w:rPr>
                <w:rFonts w:ascii="Calibri" w:eastAsia="Times New Roman" w:hAnsi="Calibri" w:cs="Calibri"/>
                <w:sz w:val="20"/>
                <w:szCs w:val="20"/>
              </w:rPr>
              <w:t>J. Stacul</w:t>
            </w:r>
          </w:p>
        </w:tc>
        <w:tc>
          <w:tcPr>
            <w:tcW w:w="2343" w:type="dxa"/>
            <w:noWrap/>
            <w:hideMark/>
          </w:tcPr>
          <w:p w14:paraId="0B439DD4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Department of Sociology</w:t>
            </w:r>
          </w:p>
        </w:tc>
        <w:tc>
          <w:tcPr>
            <w:tcW w:w="3631" w:type="dxa"/>
            <w:hideMark/>
          </w:tcPr>
          <w:p w14:paraId="3C0A8CF5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A Populist Solidarity? An Examination of Right-Wing Populism in Contemporary Poland </w:t>
            </w:r>
          </w:p>
        </w:tc>
        <w:tc>
          <w:tcPr>
            <w:tcW w:w="1057" w:type="dxa"/>
            <w:noWrap/>
            <w:hideMark/>
          </w:tcPr>
          <w:p w14:paraId="7BCE5CA8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1,490 </w:t>
            </w:r>
          </w:p>
        </w:tc>
      </w:tr>
      <w:tr w:rsidR="008052BC" w:rsidRPr="008052BC" w14:paraId="5B62B6B7" w14:textId="77777777" w:rsidTr="008052BC">
        <w:tblPrEx>
          <w:jc w:val="left"/>
        </w:tblPrEx>
        <w:trPr>
          <w:trHeight w:val="600"/>
        </w:trPr>
        <w:tc>
          <w:tcPr>
            <w:tcW w:w="1874" w:type="dxa"/>
            <w:noWrap/>
            <w:hideMark/>
          </w:tcPr>
          <w:p w14:paraId="5302223C" w14:textId="77777777" w:rsidR="008052BC" w:rsidRPr="008052BC" w:rsidRDefault="008052BC" w:rsidP="008052B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052BC">
              <w:rPr>
                <w:rFonts w:ascii="Calibri" w:eastAsia="Times New Roman" w:hAnsi="Calibri" w:cs="Calibri"/>
                <w:sz w:val="20"/>
                <w:szCs w:val="20"/>
              </w:rPr>
              <w:t>D. Stewart</w:t>
            </w:r>
          </w:p>
        </w:tc>
        <w:tc>
          <w:tcPr>
            <w:tcW w:w="2343" w:type="dxa"/>
            <w:noWrap/>
            <w:hideMark/>
          </w:tcPr>
          <w:p w14:paraId="13E82FC4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Department of Biology</w:t>
            </w:r>
          </w:p>
        </w:tc>
        <w:tc>
          <w:tcPr>
            <w:tcW w:w="3631" w:type="dxa"/>
            <w:hideMark/>
          </w:tcPr>
          <w:p w14:paraId="4D7D2F1F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Application of molecular techniques to taxonomy and biology of shrews.</w:t>
            </w:r>
          </w:p>
        </w:tc>
        <w:tc>
          <w:tcPr>
            <w:tcW w:w="1057" w:type="dxa"/>
            <w:noWrap/>
            <w:hideMark/>
          </w:tcPr>
          <w:p w14:paraId="56858596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2,500 </w:t>
            </w:r>
          </w:p>
        </w:tc>
      </w:tr>
      <w:tr w:rsidR="008052BC" w:rsidRPr="008052BC" w14:paraId="68D27CE1" w14:textId="77777777" w:rsidTr="008052BC">
        <w:tblPrEx>
          <w:jc w:val="left"/>
        </w:tblPrEx>
        <w:trPr>
          <w:trHeight w:val="900"/>
        </w:trPr>
        <w:tc>
          <w:tcPr>
            <w:tcW w:w="1874" w:type="dxa"/>
            <w:noWrap/>
            <w:hideMark/>
          </w:tcPr>
          <w:p w14:paraId="7508618B" w14:textId="77777777" w:rsidR="008052BC" w:rsidRPr="008052BC" w:rsidRDefault="008052BC" w:rsidP="008052B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052BC">
              <w:rPr>
                <w:rFonts w:ascii="Calibri" w:eastAsia="Times New Roman" w:hAnsi="Calibri" w:cs="Calibri"/>
                <w:sz w:val="20"/>
                <w:szCs w:val="20"/>
              </w:rPr>
              <w:t xml:space="preserve">B. </w:t>
            </w:r>
            <w:proofErr w:type="spellStart"/>
            <w:r w:rsidRPr="008052BC">
              <w:rPr>
                <w:rFonts w:ascii="Calibri" w:eastAsia="Times New Roman" w:hAnsi="Calibri" w:cs="Calibri"/>
                <w:sz w:val="20"/>
                <w:szCs w:val="20"/>
              </w:rPr>
              <w:t>Trofanendo</w:t>
            </w:r>
            <w:proofErr w:type="spellEnd"/>
          </w:p>
        </w:tc>
        <w:tc>
          <w:tcPr>
            <w:tcW w:w="2343" w:type="dxa"/>
            <w:noWrap/>
            <w:hideMark/>
          </w:tcPr>
          <w:p w14:paraId="5D93143F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School of Education</w:t>
            </w:r>
          </w:p>
        </w:tc>
        <w:tc>
          <w:tcPr>
            <w:tcW w:w="3631" w:type="dxa"/>
            <w:hideMark/>
          </w:tcPr>
          <w:p w14:paraId="6E7C8D60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Indigenous art, witnessing, and reconciliation after the Canadian Truth and Reconciliation Commission</w:t>
            </w:r>
          </w:p>
        </w:tc>
        <w:tc>
          <w:tcPr>
            <w:tcW w:w="1057" w:type="dxa"/>
            <w:noWrap/>
            <w:hideMark/>
          </w:tcPr>
          <w:p w14:paraId="3B488992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2,500 </w:t>
            </w:r>
          </w:p>
        </w:tc>
      </w:tr>
      <w:tr w:rsidR="00A202CA" w14:paraId="72001BA3" w14:textId="77777777" w:rsidTr="008052BC">
        <w:trPr>
          <w:trHeight w:val="620"/>
          <w:jc w:val="center"/>
        </w:trPr>
        <w:tc>
          <w:tcPr>
            <w:tcW w:w="1874" w:type="dxa"/>
            <w:vAlign w:val="center"/>
          </w:tcPr>
          <w:p w14:paraId="2EF29056" w14:textId="1C4B7784" w:rsidR="00A202CA" w:rsidRPr="008052BC" w:rsidRDefault="00A202CA" w:rsidP="008052BC">
            <w:pPr>
              <w:jc w:val="center"/>
              <w:rPr>
                <w:b/>
                <w:bCs/>
                <w:sz w:val="24"/>
                <w:szCs w:val="24"/>
              </w:rPr>
            </w:pPr>
            <w:r w:rsidRPr="008052BC">
              <w:rPr>
                <w:b/>
                <w:bCs/>
                <w:sz w:val="24"/>
                <w:szCs w:val="24"/>
              </w:rPr>
              <w:t xml:space="preserve">GRANT HOLDER </w:t>
            </w:r>
            <w:r w:rsidR="008052BC" w:rsidRPr="008052BC">
              <w:rPr>
                <w:b/>
                <w:bCs/>
                <w:sz w:val="24"/>
                <w:szCs w:val="24"/>
              </w:rPr>
              <w:t>October 2021</w:t>
            </w:r>
          </w:p>
        </w:tc>
        <w:tc>
          <w:tcPr>
            <w:tcW w:w="2343" w:type="dxa"/>
            <w:vAlign w:val="center"/>
          </w:tcPr>
          <w:p w14:paraId="1948E58F" w14:textId="0618A43C" w:rsidR="00A202CA" w:rsidRPr="008052BC" w:rsidRDefault="00A202CA" w:rsidP="00322B9F">
            <w:pPr>
              <w:jc w:val="center"/>
              <w:rPr>
                <w:b/>
                <w:bCs/>
                <w:sz w:val="24"/>
                <w:szCs w:val="24"/>
              </w:rPr>
            </w:pPr>
            <w:r w:rsidRPr="008052BC">
              <w:rPr>
                <w:b/>
                <w:bCs/>
                <w:sz w:val="24"/>
                <w:szCs w:val="24"/>
              </w:rPr>
              <w:t>DEPARTMENT</w:t>
            </w:r>
            <w:r w:rsidR="00927C55" w:rsidRPr="008052BC">
              <w:rPr>
                <w:b/>
                <w:bCs/>
                <w:sz w:val="24"/>
                <w:szCs w:val="24"/>
              </w:rPr>
              <w:t>/SCHOOL</w:t>
            </w:r>
          </w:p>
        </w:tc>
        <w:tc>
          <w:tcPr>
            <w:tcW w:w="3631" w:type="dxa"/>
            <w:vAlign w:val="center"/>
          </w:tcPr>
          <w:p w14:paraId="1C9B683B" w14:textId="2ADF8C52" w:rsidR="00A202CA" w:rsidRPr="008052BC" w:rsidRDefault="00A202CA" w:rsidP="00322B9F">
            <w:pPr>
              <w:jc w:val="center"/>
              <w:rPr>
                <w:b/>
                <w:bCs/>
                <w:sz w:val="24"/>
                <w:szCs w:val="24"/>
              </w:rPr>
            </w:pPr>
            <w:r w:rsidRPr="008052BC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057" w:type="dxa"/>
            <w:vAlign w:val="center"/>
          </w:tcPr>
          <w:p w14:paraId="10FA6BA4" w14:textId="3B2B9AB3" w:rsidR="00A202CA" w:rsidRPr="008052BC" w:rsidRDefault="00A202CA" w:rsidP="00322B9F">
            <w:pPr>
              <w:jc w:val="center"/>
              <w:rPr>
                <w:b/>
                <w:bCs/>
                <w:sz w:val="24"/>
                <w:szCs w:val="24"/>
              </w:rPr>
            </w:pPr>
            <w:r w:rsidRPr="008052BC">
              <w:rPr>
                <w:b/>
                <w:bCs/>
                <w:sz w:val="24"/>
                <w:szCs w:val="24"/>
              </w:rPr>
              <w:t>AWARD</w:t>
            </w:r>
          </w:p>
        </w:tc>
      </w:tr>
      <w:tr w:rsidR="00927C55" w14:paraId="1328C54C" w14:textId="77777777" w:rsidTr="008052BC">
        <w:trPr>
          <w:jc w:val="center"/>
        </w:trPr>
        <w:tc>
          <w:tcPr>
            <w:tcW w:w="1874" w:type="dxa"/>
            <w:vAlign w:val="center"/>
          </w:tcPr>
          <w:p w14:paraId="231E7420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987F" w14:textId="2CF98ADE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4242B" w14:textId="7FBA6675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C4BE7" w14:textId="1634B96E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</w:tr>
      <w:tr w:rsidR="008052BC" w:rsidRPr="008052BC" w14:paraId="6639C316" w14:textId="77777777" w:rsidTr="008052BC">
        <w:tblPrEx>
          <w:jc w:val="left"/>
        </w:tblPrEx>
        <w:trPr>
          <w:trHeight w:val="900"/>
        </w:trPr>
        <w:tc>
          <w:tcPr>
            <w:tcW w:w="1874" w:type="dxa"/>
            <w:noWrap/>
            <w:hideMark/>
          </w:tcPr>
          <w:p w14:paraId="3B69428B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T. Avery</w:t>
            </w:r>
          </w:p>
        </w:tc>
        <w:tc>
          <w:tcPr>
            <w:tcW w:w="2343" w:type="dxa"/>
            <w:hideMark/>
          </w:tcPr>
          <w:p w14:paraId="502AB359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Department of Biology</w:t>
            </w:r>
          </w:p>
        </w:tc>
        <w:tc>
          <w:tcPr>
            <w:tcW w:w="3631" w:type="dxa"/>
            <w:hideMark/>
          </w:tcPr>
          <w:p w14:paraId="112F49E8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Assessing Offshore Lobster Biology in Lobster Fishing Areas 33 and 34: Environmental Influences and Movement Patterns</w:t>
            </w:r>
          </w:p>
        </w:tc>
        <w:tc>
          <w:tcPr>
            <w:tcW w:w="1057" w:type="dxa"/>
            <w:noWrap/>
            <w:hideMark/>
          </w:tcPr>
          <w:p w14:paraId="5E330453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   5,000 </w:t>
            </w:r>
          </w:p>
        </w:tc>
      </w:tr>
      <w:tr w:rsidR="008052BC" w:rsidRPr="008052BC" w14:paraId="442526CB" w14:textId="77777777" w:rsidTr="008052BC">
        <w:tblPrEx>
          <w:jc w:val="left"/>
        </w:tblPrEx>
        <w:trPr>
          <w:trHeight w:val="600"/>
        </w:trPr>
        <w:tc>
          <w:tcPr>
            <w:tcW w:w="1874" w:type="dxa"/>
            <w:noWrap/>
            <w:hideMark/>
          </w:tcPr>
          <w:p w14:paraId="50FE0227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N. Bray and C. Shields</w:t>
            </w:r>
          </w:p>
        </w:tc>
        <w:tc>
          <w:tcPr>
            <w:tcW w:w="2343" w:type="dxa"/>
            <w:hideMark/>
          </w:tcPr>
          <w:p w14:paraId="3BA55FDF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School of Kinesiology</w:t>
            </w:r>
          </w:p>
        </w:tc>
        <w:tc>
          <w:tcPr>
            <w:tcW w:w="3631" w:type="dxa"/>
            <w:hideMark/>
          </w:tcPr>
          <w:p w14:paraId="525BAF59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Probing the relationship between frailty, vascular health, and </w:t>
            </w:r>
            <w:proofErr w:type="spellStart"/>
            <w:r w:rsidRPr="008052BC">
              <w:rPr>
                <w:rFonts w:ascii="Calibri" w:eastAsia="Times New Roman" w:hAnsi="Calibri" w:cs="Calibri"/>
              </w:rPr>
              <w:t>congitive</w:t>
            </w:r>
            <w:proofErr w:type="spellEnd"/>
            <w:r w:rsidRPr="008052BC">
              <w:rPr>
                <w:rFonts w:ascii="Calibri" w:eastAsia="Times New Roman" w:hAnsi="Calibri" w:cs="Calibri"/>
              </w:rPr>
              <w:t xml:space="preserve"> function in older adults</w:t>
            </w:r>
          </w:p>
        </w:tc>
        <w:tc>
          <w:tcPr>
            <w:tcW w:w="1057" w:type="dxa"/>
            <w:noWrap/>
            <w:hideMark/>
          </w:tcPr>
          <w:p w14:paraId="2262D229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   5,000 </w:t>
            </w:r>
          </w:p>
        </w:tc>
      </w:tr>
      <w:tr w:rsidR="008052BC" w:rsidRPr="008052BC" w14:paraId="641DF66F" w14:textId="77777777" w:rsidTr="008052BC">
        <w:tblPrEx>
          <w:jc w:val="left"/>
        </w:tblPrEx>
        <w:trPr>
          <w:trHeight w:val="600"/>
        </w:trPr>
        <w:tc>
          <w:tcPr>
            <w:tcW w:w="1874" w:type="dxa"/>
            <w:noWrap/>
            <w:hideMark/>
          </w:tcPr>
          <w:p w14:paraId="604E008D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L. Carlsson</w:t>
            </w:r>
          </w:p>
        </w:tc>
        <w:tc>
          <w:tcPr>
            <w:tcW w:w="2343" w:type="dxa"/>
            <w:hideMark/>
          </w:tcPr>
          <w:p w14:paraId="2B781404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School of Nutrition &amp; Dietetics</w:t>
            </w:r>
          </w:p>
        </w:tc>
        <w:tc>
          <w:tcPr>
            <w:tcW w:w="3631" w:type="dxa"/>
            <w:hideMark/>
          </w:tcPr>
          <w:p w14:paraId="38A49B6B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Current Training for Sustainability Competence in Canadian Dietetics </w:t>
            </w:r>
            <w:proofErr w:type="spellStart"/>
            <w:r w:rsidRPr="008052BC">
              <w:rPr>
                <w:rFonts w:ascii="Calibri" w:eastAsia="Times New Roman" w:hAnsi="Calibri" w:cs="Calibri"/>
              </w:rPr>
              <w:t>Porgrams</w:t>
            </w:r>
            <w:proofErr w:type="spellEnd"/>
          </w:p>
        </w:tc>
        <w:tc>
          <w:tcPr>
            <w:tcW w:w="1057" w:type="dxa"/>
            <w:noWrap/>
            <w:hideMark/>
          </w:tcPr>
          <w:p w14:paraId="1DEB3A08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   5,000 </w:t>
            </w:r>
          </w:p>
        </w:tc>
      </w:tr>
      <w:tr w:rsidR="008052BC" w:rsidRPr="008052BC" w14:paraId="58027E0E" w14:textId="77777777" w:rsidTr="008052BC">
        <w:tblPrEx>
          <w:jc w:val="left"/>
        </w:tblPrEx>
        <w:trPr>
          <w:trHeight w:val="900"/>
        </w:trPr>
        <w:tc>
          <w:tcPr>
            <w:tcW w:w="1874" w:type="dxa"/>
            <w:noWrap/>
            <w:hideMark/>
          </w:tcPr>
          <w:p w14:paraId="6C83DCA2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M. Corbett</w:t>
            </w:r>
          </w:p>
        </w:tc>
        <w:tc>
          <w:tcPr>
            <w:tcW w:w="2343" w:type="dxa"/>
            <w:noWrap/>
            <w:hideMark/>
          </w:tcPr>
          <w:p w14:paraId="19B42AAA" w14:textId="2F297215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School of </w:t>
            </w:r>
            <w:r w:rsidR="00AF56BD" w:rsidRPr="008052BC">
              <w:rPr>
                <w:rFonts w:ascii="Calibri" w:eastAsia="Times New Roman" w:hAnsi="Calibri" w:cs="Calibri"/>
              </w:rPr>
              <w:t>Education</w:t>
            </w:r>
          </w:p>
        </w:tc>
        <w:tc>
          <w:tcPr>
            <w:tcW w:w="3631" w:type="dxa"/>
            <w:hideMark/>
          </w:tcPr>
          <w:p w14:paraId="2FD58052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Project and Inquiry Learning Through New Technologies in a Makerspace: An Action Research Project</w:t>
            </w:r>
          </w:p>
        </w:tc>
        <w:tc>
          <w:tcPr>
            <w:tcW w:w="1057" w:type="dxa"/>
            <w:hideMark/>
          </w:tcPr>
          <w:p w14:paraId="2CA884FC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   4,994 </w:t>
            </w:r>
          </w:p>
        </w:tc>
      </w:tr>
      <w:tr w:rsidR="008052BC" w:rsidRPr="008052BC" w14:paraId="26023DB0" w14:textId="77777777" w:rsidTr="008052BC">
        <w:tblPrEx>
          <w:jc w:val="left"/>
        </w:tblPrEx>
        <w:trPr>
          <w:trHeight w:val="900"/>
        </w:trPr>
        <w:tc>
          <w:tcPr>
            <w:tcW w:w="1874" w:type="dxa"/>
            <w:noWrap/>
            <w:hideMark/>
          </w:tcPr>
          <w:p w14:paraId="72AAB600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M. Miller</w:t>
            </w:r>
          </w:p>
        </w:tc>
        <w:tc>
          <w:tcPr>
            <w:tcW w:w="2343" w:type="dxa"/>
            <w:noWrap/>
            <w:hideMark/>
          </w:tcPr>
          <w:p w14:paraId="1A1512D1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School of Kinesiology</w:t>
            </w:r>
          </w:p>
        </w:tc>
        <w:tc>
          <w:tcPr>
            <w:tcW w:w="3631" w:type="dxa"/>
            <w:hideMark/>
          </w:tcPr>
          <w:p w14:paraId="357F964C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Using Neuromuscular activation Patterns to Understand Injury Risk Associated with Movement Screen Performance</w:t>
            </w:r>
          </w:p>
        </w:tc>
        <w:tc>
          <w:tcPr>
            <w:tcW w:w="1057" w:type="dxa"/>
            <w:noWrap/>
            <w:hideMark/>
          </w:tcPr>
          <w:p w14:paraId="7AB5A830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   4,595 </w:t>
            </w:r>
          </w:p>
        </w:tc>
      </w:tr>
      <w:tr w:rsidR="008052BC" w:rsidRPr="008052BC" w14:paraId="4D6AB626" w14:textId="77777777" w:rsidTr="008052BC">
        <w:tblPrEx>
          <w:jc w:val="left"/>
        </w:tblPrEx>
        <w:trPr>
          <w:trHeight w:val="900"/>
        </w:trPr>
        <w:tc>
          <w:tcPr>
            <w:tcW w:w="1874" w:type="dxa"/>
            <w:noWrap/>
            <w:hideMark/>
          </w:tcPr>
          <w:p w14:paraId="3F055357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M. Neilson</w:t>
            </w:r>
          </w:p>
        </w:tc>
        <w:tc>
          <w:tcPr>
            <w:tcW w:w="2343" w:type="dxa"/>
            <w:noWrap/>
            <w:hideMark/>
          </w:tcPr>
          <w:p w14:paraId="4A5B189B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Library</w:t>
            </w:r>
          </w:p>
        </w:tc>
        <w:tc>
          <w:tcPr>
            <w:tcW w:w="3631" w:type="dxa"/>
            <w:hideMark/>
          </w:tcPr>
          <w:p w14:paraId="23CBD0A5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Information sharing </w:t>
            </w:r>
            <w:proofErr w:type="spellStart"/>
            <w:r w:rsidRPr="008052BC">
              <w:rPr>
                <w:rFonts w:ascii="Calibri" w:eastAsia="Times New Roman" w:hAnsi="Calibri" w:cs="Calibri"/>
              </w:rPr>
              <w:t>behaviour</w:t>
            </w:r>
            <w:proofErr w:type="spellEnd"/>
            <w:r w:rsidRPr="008052BC">
              <w:rPr>
                <w:rFonts w:ascii="Calibri" w:eastAsia="Times New Roman" w:hAnsi="Calibri" w:cs="Calibri"/>
              </w:rPr>
              <w:t xml:space="preserve"> in Annapolis Valley non-profit organizations: a descriptive and thematic analysis of website content</w:t>
            </w:r>
          </w:p>
        </w:tc>
        <w:tc>
          <w:tcPr>
            <w:tcW w:w="1057" w:type="dxa"/>
            <w:noWrap/>
            <w:hideMark/>
          </w:tcPr>
          <w:p w14:paraId="5D1017B7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   2,707 </w:t>
            </w:r>
          </w:p>
        </w:tc>
      </w:tr>
      <w:tr w:rsidR="008052BC" w:rsidRPr="008052BC" w14:paraId="6E542DE8" w14:textId="77777777" w:rsidTr="008052BC">
        <w:tblPrEx>
          <w:jc w:val="left"/>
        </w:tblPrEx>
        <w:trPr>
          <w:trHeight w:val="600"/>
        </w:trPr>
        <w:tc>
          <w:tcPr>
            <w:tcW w:w="1874" w:type="dxa"/>
            <w:noWrap/>
            <w:hideMark/>
          </w:tcPr>
          <w:p w14:paraId="11DAB483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K. Pinder</w:t>
            </w:r>
          </w:p>
        </w:tc>
        <w:tc>
          <w:tcPr>
            <w:tcW w:w="2343" w:type="dxa"/>
            <w:noWrap/>
            <w:hideMark/>
          </w:tcPr>
          <w:p w14:paraId="0E4BBDDD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Department of English &amp; Theatre</w:t>
            </w:r>
          </w:p>
        </w:tc>
        <w:tc>
          <w:tcPr>
            <w:tcW w:w="3631" w:type="dxa"/>
            <w:hideMark/>
          </w:tcPr>
          <w:p w14:paraId="0ABF8A93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"The Contemporary Leonard Cohen: Response, Reappraisal, Rediscovery"</w:t>
            </w:r>
          </w:p>
        </w:tc>
        <w:tc>
          <w:tcPr>
            <w:tcW w:w="1057" w:type="dxa"/>
            <w:noWrap/>
            <w:hideMark/>
          </w:tcPr>
          <w:p w14:paraId="7133E139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   4,520 </w:t>
            </w:r>
          </w:p>
        </w:tc>
      </w:tr>
      <w:tr w:rsidR="008052BC" w:rsidRPr="008052BC" w14:paraId="503F4361" w14:textId="77777777" w:rsidTr="008052BC">
        <w:tblPrEx>
          <w:jc w:val="left"/>
        </w:tblPrEx>
        <w:trPr>
          <w:trHeight w:val="600"/>
        </w:trPr>
        <w:tc>
          <w:tcPr>
            <w:tcW w:w="1874" w:type="dxa"/>
            <w:noWrap/>
            <w:hideMark/>
          </w:tcPr>
          <w:p w14:paraId="2E721432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lastRenderedPageBreak/>
              <w:t>T. Surette</w:t>
            </w:r>
          </w:p>
        </w:tc>
        <w:tc>
          <w:tcPr>
            <w:tcW w:w="2343" w:type="dxa"/>
            <w:hideMark/>
          </w:tcPr>
          <w:p w14:paraId="697D7FD4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School of Education</w:t>
            </w:r>
          </w:p>
        </w:tc>
        <w:tc>
          <w:tcPr>
            <w:tcW w:w="3631" w:type="dxa"/>
            <w:hideMark/>
          </w:tcPr>
          <w:p w14:paraId="0E9DD4AA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Decolonizing Space: Explorations of Well-being, Inclusion and Identity</w:t>
            </w:r>
          </w:p>
        </w:tc>
        <w:tc>
          <w:tcPr>
            <w:tcW w:w="1057" w:type="dxa"/>
            <w:noWrap/>
            <w:hideMark/>
          </w:tcPr>
          <w:p w14:paraId="57F43FC5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   5,000 </w:t>
            </w:r>
          </w:p>
        </w:tc>
      </w:tr>
      <w:tr w:rsidR="008052BC" w:rsidRPr="008052BC" w14:paraId="54923512" w14:textId="77777777" w:rsidTr="008052BC">
        <w:tblPrEx>
          <w:jc w:val="left"/>
        </w:tblPrEx>
        <w:trPr>
          <w:trHeight w:val="1200"/>
        </w:trPr>
        <w:tc>
          <w:tcPr>
            <w:tcW w:w="1874" w:type="dxa"/>
            <w:noWrap/>
            <w:hideMark/>
          </w:tcPr>
          <w:p w14:paraId="2608BFC6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M. Snyder</w:t>
            </w:r>
          </w:p>
        </w:tc>
        <w:tc>
          <w:tcPr>
            <w:tcW w:w="2343" w:type="dxa"/>
            <w:hideMark/>
          </w:tcPr>
          <w:p w14:paraId="38B1D91C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Department of Earth &amp; Environmental Science</w:t>
            </w:r>
          </w:p>
        </w:tc>
        <w:tc>
          <w:tcPr>
            <w:tcW w:w="3631" w:type="dxa"/>
            <w:hideMark/>
          </w:tcPr>
          <w:p w14:paraId="19E2DA45" w14:textId="77777777" w:rsidR="008052BC" w:rsidRPr="008052BC" w:rsidRDefault="008052BC" w:rsidP="008052BC">
            <w:pPr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>Evolution of Scotian Basin in offshore Nova Scotia, Canada: a preliminary integrated study combining U-Pb detrital zircon geochronology and 3-D modeling of seismic data</w:t>
            </w:r>
          </w:p>
        </w:tc>
        <w:tc>
          <w:tcPr>
            <w:tcW w:w="1057" w:type="dxa"/>
            <w:noWrap/>
            <w:hideMark/>
          </w:tcPr>
          <w:p w14:paraId="2EDC4D67" w14:textId="77777777" w:rsidR="008052BC" w:rsidRPr="008052BC" w:rsidRDefault="008052BC" w:rsidP="008052BC">
            <w:pPr>
              <w:jc w:val="center"/>
              <w:rPr>
                <w:rFonts w:ascii="Calibri" w:eastAsia="Times New Roman" w:hAnsi="Calibri" w:cs="Calibri"/>
              </w:rPr>
            </w:pPr>
            <w:r w:rsidRPr="008052BC">
              <w:rPr>
                <w:rFonts w:ascii="Calibri" w:eastAsia="Times New Roman" w:hAnsi="Calibri" w:cs="Calibri"/>
              </w:rPr>
              <w:t xml:space="preserve"> $     5,000 </w:t>
            </w:r>
          </w:p>
        </w:tc>
      </w:tr>
    </w:tbl>
    <w:p w14:paraId="04CD8DE1" w14:textId="77777777" w:rsidR="00167367" w:rsidRPr="00167367" w:rsidRDefault="00167367" w:rsidP="00167367">
      <w:pPr>
        <w:rPr>
          <w:b/>
          <w:bCs/>
        </w:rPr>
      </w:pPr>
    </w:p>
    <w:sectPr w:rsidR="00167367" w:rsidRPr="00167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570E"/>
    <w:multiLevelType w:val="hybridMultilevel"/>
    <w:tmpl w:val="14AEC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101"/>
    <w:multiLevelType w:val="hybridMultilevel"/>
    <w:tmpl w:val="B1A6AC3E"/>
    <w:lvl w:ilvl="0" w:tplc="E17E3AC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B0012EB"/>
    <w:multiLevelType w:val="hybridMultilevel"/>
    <w:tmpl w:val="1C60D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60D0D"/>
    <w:multiLevelType w:val="hybridMultilevel"/>
    <w:tmpl w:val="17A80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67"/>
    <w:rsid w:val="000274E2"/>
    <w:rsid w:val="000A286F"/>
    <w:rsid w:val="00167367"/>
    <w:rsid w:val="00186C83"/>
    <w:rsid w:val="002C696A"/>
    <w:rsid w:val="003002CE"/>
    <w:rsid w:val="00322B9F"/>
    <w:rsid w:val="00324280"/>
    <w:rsid w:val="00565754"/>
    <w:rsid w:val="00647A4F"/>
    <w:rsid w:val="00667C38"/>
    <w:rsid w:val="006861CB"/>
    <w:rsid w:val="008052BC"/>
    <w:rsid w:val="00902BDF"/>
    <w:rsid w:val="00913E09"/>
    <w:rsid w:val="00927C55"/>
    <w:rsid w:val="009A3DC0"/>
    <w:rsid w:val="009A68A0"/>
    <w:rsid w:val="009C3DA8"/>
    <w:rsid w:val="00A202CA"/>
    <w:rsid w:val="00A85167"/>
    <w:rsid w:val="00AE03C5"/>
    <w:rsid w:val="00AF56BD"/>
    <w:rsid w:val="00B31CF1"/>
    <w:rsid w:val="00B60FFF"/>
    <w:rsid w:val="00C045B7"/>
    <w:rsid w:val="00C95732"/>
    <w:rsid w:val="00DB7FD1"/>
    <w:rsid w:val="00DE6351"/>
    <w:rsid w:val="00E1669B"/>
    <w:rsid w:val="00ED7A8A"/>
    <w:rsid w:val="00F85A18"/>
    <w:rsid w:val="00FE125B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A010"/>
  <w15:chartTrackingRefBased/>
  <w15:docId w15:val="{2B5ACE2C-2794-4D8A-AC49-518196A4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Ludlow</dc:creator>
  <cp:keywords/>
  <dc:description/>
  <cp:lastModifiedBy>Peter Ludlow</cp:lastModifiedBy>
  <cp:revision>2</cp:revision>
  <cp:lastPrinted>2021-08-27T13:06:00Z</cp:lastPrinted>
  <dcterms:created xsi:type="dcterms:W3CDTF">2021-11-18T18:10:00Z</dcterms:created>
  <dcterms:modified xsi:type="dcterms:W3CDTF">2021-11-18T18:10:00Z</dcterms:modified>
</cp:coreProperties>
</file>